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449" w:rsidRPr="00ED0449" w:rsidRDefault="009200AA" w:rsidP="00ED04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  <w:r w:rsidR="00ED0449" w:rsidRPr="00ED04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449" w:rsidRPr="00ED0449" w:rsidRDefault="00ED0449" w:rsidP="00ED04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0449">
        <w:rPr>
          <w:rFonts w:ascii="Times New Roman" w:hAnsi="Times New Roman" w:cs="Times New Roman"/>
          <w:sz w:val="24"/>
          <w:szCs w:val="24"/>
        </w:rPr>
        <w:t xml:space="preserve">к Положению об учетной политике в Департаменте </w:t>
      </w:r>
      <w:proofErr w:type="gramStart"/>
      <w:r w:rsidRPr="00ED0449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ED0449" w:rsidRPr="00ED0449" w:rsidRDefault="00ED0449" w:rsidP="00ED04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D0449">
        <w:rPr>
          <w:rFonts w:ascii="Times New Roman" w:hAnsi="Times New Roman" w:cs="Times New Roman"/>
          <w:sz w:val="24"/>
          <w:szCs w:val="24"/>
        </w:rPr>
        <w:t>управлению государственной собственностью Томской области</w:t>
      </w:r>
    </w:p>
    <w:p w:rsidR="00ED0449" w:rsidRPr="00ED0449" w:rsidRDefault="00ED0449" w:rsidP="00ED044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D0449" w:rsidRPr="00ED0449" w:rsidRDefault="00ED0449" w:rsidP="00ED04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3C45" w:rsidRPr="005F3C45" w:rsidRDefault="005F3C45" w:rsidP="005F3C45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Положение </w:t>
      </w:r>
    </w:p>
    <w:p w:rsidR="005F3C45" w:rsidRPr="005F3C45" w:rsidRDefault="005F3C45" w:rsidP="005F3C45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о постоянно действующей комиссии по поступлению и выбытию активов</w:t>
      </w:r>
    </w:p>
    <w:p w:rsidR="005F3C45" w:rsidRPr="005F3C45" w:rsidRDefault="005F3C45" w:rsidP="005F3C45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5F3C45" w:rsidRPr="005F3C45" w:rsidRDefault="005F3C45" w:rsidP="005F3C45">
      <w:pPr>
        <w:numPr>
          <w:ilvl w:val="0"/>
          <w:numId w:val="1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proofErr w:type="gramStart"/>
      <w:r w:rsidRPr="005F3C45">
        <w:rPr>
          <w:rFonts w:ascii="Times New Roman" w:eastAsia="Calibri" w:hAnsi="Times New Roman" w:cs="Times New Roman"/>
          <w:sz w:val="26"/>
          <w:szCs w:val="26"/>
        </w:rPr>
        <w:t>Настоящее положение о постоянно действующей комиссии по поступлению и выбытию активов разработано в соответствии с приказом Министерства финансов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применению».</w:t>
      </w:r>
      <w:proofErr w:type="gramEnd"/>
    </w:p>
    <w:p w:rsidR="005F3C45" w:rsidRPr="005F3C45" w:rsidRDefault="005F3C45" w:rsidP="005F3C45">
      <w:pPr>
        <w:numPr>
          <w:ilvl w:val="0"/>
          <w:numId w:val="1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5F3C45">
        <w:rPr>
          <w:rFonts w:ascii="Times New Roman" w:eastAsia="Calibri" w:hAnsi="Times New Roman" w:cs="Times New Roman"/>
          <w:sz w:val="26"/>
          <w:szCs w:val="26"/>
        </w:rPr>
        <w:t>В своей деятельности постоянно действующая комиссия по поступлению и выбытию активов (далее – Комиссия) руководствуется Федеральным законом Российской Федерации от 06.11.2011 № 402-ФЗ «О бухгалтерском учете», приказами Министерства финансов Российской Федерации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 от 31.12.2016 № 257н «Об утверждении федерального стандарта бухгалтерского учета</w:t>
      </w:r>
      <w:proofErr w:type="gramEnd"/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5F3C45">
        <w:rPr>
          <w:rFonts w:ascii="Times New Roman" w:eastAsia="Calibri" w:hAnsi="Times New Roman" w:cs="Times New Roman"/>
          <w:sz w:val="26"/>
          <w:szCs w:val="26"/>
        </w:rPr>
        <w:t>для организаций государственного сектора «Основные средства», от 31.12.2016 № 258н «Об утверждении федерального стандарта бухгалтерского учета для организаций государственного сектора «Аренда», от 31.12.2016 № 259н «Об утверждении федерального стандарта бухгалтерского учета для организаций государственного сектора «Обесценение активов», от 31.03.2015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</w:t>
      </w:r>
      <w:proofErr w:type="gramEnd"/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 внебюджетными фондами, государственными (муниципальными) учреждениями, и Методических указаний по их применению», Общероссийским классификатором основных фондов </w:t>
      </w:r>
      <w:proofErr w:type="gramStart"/>
      <w:r w:rsidRPr="005F3C45">
        <w:rPr>
          <w:rFonts w:ascii="Times New Roman" w:eastAsia="Calibri" w:hAnsi="Times New Roman" w:cs="Times New Roman"/>
          <w:sz w:val="26"/>
          <w:szCs w:val="26"/>
        </w:rPr>
        <w:t>ОК</w:t>
      </w:r>
      <w:proofErr w:type="gramEnd"/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 013-2014 (СНС 2008), утвержденным  приказом </w:t>
      </w:r>
      <w:proofErr w:type="spellStart"/>
      <w:r w:rsidRPr="005F3C45">
        <w:rPr>
          <w:rFonts w:ascii="Times New Roman" w:eastAsia="Calibri" w:hAnsi="Times New Roman" w:cs="Times New Roman"/>
          <w:sz w:val="26"/>
          <w:szCs w:val="26"/>
        </w:rPr>
        <w:t>Росстандарта</w:t>
      </w:r>
      <w:proofErr w:type="spellEnd"/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 от 12.12.2014 N 2018-ст, </w:t>
      </w:r>
      <w:r w:rsidRPr="005F3C4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распоряжением Департамента от 23.12.2015 № 1111 «Об утверждении Положения о порядке принятия решений о сносе (ликвидации) и списании областного государственного недвижимого имущества, разборке, демонтаже, ликвидации областного государственного движимого имущества».</w:t>
      </w:r>
    </w:p>
    <w:p w:rsidR="005F3C45" w:rsidRPr="005F3C45" w:rsidRDefault="005F3C45" w:rsidP="005F3C45">
      <w:pPr>
        <w:numPr>
          <w:ilvl w:val="0"/>
          <w:numId w:val="1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Целью Комиссии является обеспечение деятельности Департамента по управлению государственной собственностью Томской области (далее – Департамент), связанной с поступлением и выбытием активов (в том числе объектов имущества, составляющего Казну Томской области).</w:t>
      </w:r>
    </w:p>
    <w:p w:rsidR="005F3C45" w:rsidRPr="005F3C45" w:rsidRDefault="005F3C45" w:rsidP="005F3C45">
      <w:pPr>
        <w:numPr>
          <w:ilvl w:val="0"/>
          <w:numId w:val="1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К полномочиям Комиссии относятся: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1) признание в бюджетном учете объектов имущества (далее – объекты) в составе основных средств с учетом прогнозирования получения от их использования экономических выгод или полезного потенциала;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lastRenderedPageBreak/>
        <w:t>2) осмотр объекта, подлежащего принятию к учету или списанию, с использованием технической документации, данных бухгалтерского учета, установление целесообразности (пригодности) дальнейшего его использовании, возможности и эффективности его восстановления;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3) определение справедливой стоимости объекта; 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4) определение срока полезного использования объекта в целях принятия к учету и начисления амортизации; 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5) отнесение объектов к основным средствам либо к материальным запасам;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6) определение группы аналитического учета, кодов (по общероссийскому классификатору основных фондов) основных средств и нематериальных активов;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7) установление причин списания объекта;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8) выявление лиц, по вине которых происходит преждевременное выбытие объекта, внесение предложений о привлечении этих лиц к ответственности, установленной законодательством;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9)   определение размера ущерба, причиненного недостачами и хищениями;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5F3C45">
        <w:rPr>
          <w:rFonts w:ascii="Times New Roman" w:eastAsia="Calibri" w:hAnsi="Times New Roman" w:cs="Times New Roman"/>
          <w:sz w:val="26"/>
          <w:szCs w:val="26"/>
        </w:rPr>
        <w:t>10) определение возможности использования отдельных узлов, деталей, материалов выбывающего объекта имущества и их оценка, контроль за изъятием из списываемых в составе объекта цветных и драгоценных металлов, определение веса и сдачи на соответствующий склад; осуществление контроля за изъятием из списываемых объектов цветных и драгоценных металлов, определением их количества, веса;</w:t>
      </w:r>
      <w:proofErr w:type="gramEnd"/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11) определение доли ликвидируемого объекта, исчисляемой в процентном отношении к первоначальной стоимости объекта, для исчисления размера первоначальной, остаточной стоимости и начисленной амортизации, </w:t>
      </w:r>
      <w:proofErr w:type="gramStart"/>
      <w:r w:rsidRPr="005F3C45">
        <w:rPr>
          <w:rFonts w:ascii="Times New Roman" w:eastAsia="Calibri" w:hAnsi="Times New Roman" w:cs="Times New Roman"/>
          <w:sz w:val="26"/>
          <w:szCs w:val="26"/>
        </w:rPr>
        <w:t>приходящихся</w:t>
      </w:r>
      <w:proofErr w:type="gramEnd"/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 на часть ликвидируемого объекта;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12) определение стоимости основных средств и срока их использования в случаях изменения первоначально принятых нормативных показателей функционирования объекта основных средств, в том числе в результате проведения достройки, дооборудования, реконструкции или модернизации;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13) принятие решения о списании (выбытии) имущества Казны Томской области, основных средств, нематериальных активов в установленном порядке, в том числе объектов движимого имущества стоимостью до 10 000 </w:t>
      </w:r>
      <w:proofErr w:type="gramStart"/>
      <w:r w:rsidRPr="005F3C45">
        <w:rPr>
          <w:rFonts w:ascii="Times New Roman" w:eastAsia="Calibri" w:hAnsi="Times New Roman" w:cs="Times New Roman"/>
          <w:sz w:val="26"/>
          <w:szCs w:val="26"/>
        </w:rPr>
        <w:t>рублей</w:t>
      </w:r>
      <w:proofErr w:type="gramEnd"/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 включительно, учитываемых на  </w:t>
      </w:r>
      <w:proofErr w:type="spellStart"/>
      <w:r w:rsidRPr="005F3C45">
        <w:rPr>
          <w:rFonts w:ascii="Times New Roman" w:eastAsia="Calibri" w:hAnsi="Times New Roman" w:cs="Times New Roman"/>
          <w:sz w:val="26"/>
          <w:szCs w:val="26"/>
        </w:rPr>
        <w:t>забалансовом</w:t>
      </w:r>
      <w:proofErr w:type="spellEnd"/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 учете;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 14) формирование документов, необходимых для принятия к учету и списания объекта.</w:t>
      </w:r>
    </w:p>
    <w:p w:rsidR="005F3C45" w:rsidRPr="005F3C45" w:rsidRDefault="005F3C45" w:rsidP="005F3C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5. Состав Комиссии утверждается распоряжением Департамента и действует на постоянной основе.</w:t>
      </w:r>
    </w:p>
    <w:p w:rsidR="005F3C45" w:rsidRPr="005F3C45" w:rsidRDefault="005F3C45" w:rsidP="005F3C45">
      <w:pPr>
        <w:numPr>
          <w:ilvl w:val="0"/>
          <w:numId w:val="2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Комиссию  возглавляет  председатель,  который  осуществляет  общее руководство деятельностью Комиссии, обеспечивает коллегиальное обсуждение спорных вопросов, распределяет обязанности и дает поручения ее членам. </w:t>
      </w:r>
    </w:p>
    <w:p w:rsidR="005F3C45" w:rsidRPr="005F3C45" w:rsidRDefault="005F3C45" w:rsidP="005F3C45">
      <w:pPr>
        <w:numPr>
          <w:ilvl w:val="0"/>
          <w:numId w:val="2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 xml:space="preserve">К работе Комиссии по решению председателя Комиссии могут привлекаться технические специалисты Департамента, эксперты, специалисты контрольных органов. </w:t>
      </w:r>
    </w:p>
    <w:p w:rsidR="005F3C45" w:rsidRPr="005F3C45" w:rsidRDefault="005F3C45" w:rsidP="005F3C45">
      <w:pPr>
        <w:numPr>
          <w:ilvl w:val="0"/>
          <w:numId w:val="2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Решение Комиссии принимается простым большинством голосов, присутствующих на заседании членов Комиссии. При равенстве голосов решающим является голос председателя Комиссии.</w:t>
      </w:r>
    </w:p>
    <w:p w:rsidR="005F3C45" w:rsidRPr="005F3C45" w:rsidRDefault="005F3C45" w:rsidP="005F3C45">
      <w:pPr>
        <w:numPr>
          <w:ilvl w:val="0"/>
          <w:numId w:val="2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Комиссия проводит заседания по мере необходимости.</w:t>
      </w:r>
    </w:p>
    <w:p w:rsidR="005F3C45" w:rsidRPr="005F3C45" w:rsidRDefault="005F3C45" w:rsidP="005F3C45">
      <w:pPr>
        <w:numPr>
          <w:ilvl w:val="0"/>
          <w:numId w:val="2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lastRenderedPageBreak/>
        <w:t>Решения Комиссии считаются правомочными, если на ее заседании присутствует не менее двух третей от общего числа ее членов.</w:t>
      </w:r>
    </w:p>
    <w:p w:rsidR="005F3C45" w:rsidRPr="005F3C45" w:rsidRDefault="005F3C45" w:rsidP="005F3C45">
      <w:pPr>
        <w:numPr>
          <w:ilvl w:val="0"/>
          <w:numId w:val="2"/>
        </w:numPr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F3C45">
        <w:rPr>
          <w:rFonts w:ascii="Times New Roman" w:eastAsia="Calibri" w:hAnsi="Times New Roman" w:cs="Times New Roman"/>
          <w:sz w:val="26"/>
          <w:szCs w:val="26"/>
        </w:rPr>
        <w:t>Принятое Комиссией решение о принятии к учету или списании объекта оформляется актом с указанием сведений, характеризующих данный объект. Указанный акт утверждается начальником Департамента.</w:t>
      </w:r>
    </w:p>
    <w:p w:rsidR="005F3C45" w:rsidRPr="005F3C45" w:rsidRDefault="005F3C45" w:rsidP="005F3C45">
      <w:pPr>
        <w:tabs>
          <w:tab w:val="left" w:pos="2977"/>
          <w:tab w:val="left" w:pos="510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bookmarkEnd w:id="0"/>
    <w:p w:rsidR="00ED0449" w:rsidRDefault="00ED0449" w:rsidP="005F3C45">
      <w:pPr>
        <w:spacing w:after="0" w:line="240" w:lineRule="auto"/>
        <w:ind w:firstLine="567"/>
        <w:jc w:val="center"/>
      </w:pPr>
    </w:p>
    <w:sectPr w:rsidR="00ED044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25C" w:rsidRDefault="0057725C" w:rsidP="00E13DE4">
      <w:pPr>
        <w:spacing w:after="0" w:line="240" w:lineRule="auto"/>
      </w:pPr>
      <w:r>
        <w:separator/>
      </w:r>
    </w:p>
  </w:endnote>
  <w:endnote w:type="continuationSeparator" w:id="0">
    <w:p w:rsidR="0057725C" w:rsidRDefault="0057725C" w:rsidP="00E13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2801835"/>
      <w:docPartObj>
        <w:docPartGallery w:val="Page Numbers (Bottom of Page)"/>
        <w:docPartUnique/>
      </w:docPartObj>
    </w:sdtPr>
    <w:sdtEndPr/>
    <w:sdtContent>
      <w:p w:rsidR="00E13DE4" w:rsidRDefault="00E13DE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C45">
          <w:rPr>
            <w:noProof/>
          </w:rPr>
          <w:t>1</w:t>
        </w:r>
        <w:r>
          <w:fldChar w:fldCharType="end"/>
        </w:r>
      </w:p>
    </w:sdtContent>
  </w:sdt>
  <w:p w:rsidR="00E13DE4" w:rsidRDefault="00E13D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25C" w:rsidRDefault="0057725C" w:rsidP="00E13DE4">
      <w:pPr>
        <w:spacing w:after="0" w:line="240" w:lineRule="auto"/>
      </w:pPr>
      <w:r>
        <w:separator/>
      </w:r>
    </w:p>
  </w:footnote>
  <w:footnote w:type="continuationSeparator" w:id="0">
    <w:p w:rsidR="0057725C" w:rsidRDefault="0057725C" w:rsidP="00E13D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A5EB7"/>
    <w:multiLevelType w:val="hybridMultilevel"/>
    <w:tmpl w:val="0FA22C9A"/>
    <w:lvl w:ilvl="0" w:tplc="FAC286D4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B542B9"/>
    <w:multiLevelType w:val="hybridMultilevel"/>
    <w:tmpl w:val="0C9039E2"/>
    <w:lvl w:ilvl="0" w:tplc="3F0289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49"/>
    <w:rsid w:val="0005332C"/>
    <w:rsid w:val="00057C3A"/>
    <w:rsid w:val="000B165B"/>
    <w:rsid w:val="00290AED"/>
    <w:rsid w:val="0039116C"/>
    <w:rsid w:val="0057725C"/>
    <w:rsid w:val="005F3C45"/>
    <w:rsid w:val="00810B6A"/>
    <w:rsid w:val="00862EFE"/>
    <w:rsid w:val="009200AA"/>
    <w:rsid w:val="009A6F6E"/>
    <w:rsid w:val="00A84F18"/>
    <w:rsid w:val="00B10906"/>
    <w:rsid w:val="00B813E1"/>
    <w:rsid w:val="00CB0141"/>
    <w:rsid w:val="00D10FD0"/>
    <w:rsid w:val="00D541AC"/>
    <w:rsid w:val="00E13DE4"/>
    <w:rsid w:val="00E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44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3DE4"/>
  </w:style>
  <w:style w:type="paragraph" w:styleId="a6">
    <w:name w:val="footer"/>
    <w:basedOn w:val="a"/>
    <w:link w:val="a7"/>
    <w:uiPriority w:val="99"/>
    <w:unhideWhenUsed/>
    <w:rsid w:val="00E1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3DE4"/>
  </w:style>
  <w:style w:type="paragraph" w:styleId="a8">
    <w:name w:val="Balloon Text"/>
    <w:basedOn w:val="a"/>
    <w:link w:val="a9"/>
    <w:uiPriority w:val="99"/>
    <w:semiHidden/>
    <w:unhideWhenUsed/>
    <w:rsid w:val="00E13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3D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44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3DE4"/>
  </w:style>
  <w:style w:type="paragraph" w:styleId="a6">
    <w:name w:val="footer"/>
    <w:basedOn w:val="a"/>
    <w:link w:val="a7"/>
    <w:uiPriority w:val="99"/>
    <w:unhideWhenUsed/>
    <w:rsid w:val="00E13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3DE4"/>
  </w:style>
  <w:style w:type="paragraph" w:styleId="a8">
    <w:name w:val="Balloon Text"/>
    <w:basedOn w:val="a"/>
    <w:link w:val="a9"/>
    <w:uiPriority w:val="99"/>
    <w:semiHidden/>
    <w:unhideWhenUsed/>
    <w:rsid w:val="00E13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3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Popova</cp:lastModifiedBy>
  <cp:revision>13</cp:revision>
  <cp:lastPrinted>2018-01-24T07:43:00Z</cp:lastPrinted>
  <dcterms:created xsi:type="dcterms:W3CDTF">2018-01-03T05:32:00Z</dcterms:created>
  <dcterms:modified xsi:type="dcterms:W3CDTF">2019-05-01T15:03:00Z</dcterms:modified>
</cp:coreProperties>
</file>